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CE11" w14:textId="77777777" w:rsidR="00654893" w:rsidRPr="00654893" w:rsidRDefault="00654893" w:rsidP="00654893">
      <w:r w:rsidRPr="00654893">
        <w:rPr>
          <w:rFonts w:ascii="Segoe UI Emoji" w:hAnsi="Segoe UI Emoji" w:cs="Segoe UI Emoji"/>
          <w:b/>
          <w:bCs/>
        </w:rPr>
        <w:t>✅</w:t>
      </w:r>
      <w:r w:rsidRPr="00654893">
        <w:rPr>
          <w:b/>
          <w:bCs/>
        </w:rPr>
        <w:t xml:space="preserve"> Veterinary Drug Compounding — Compliance Checklist</w:t>
      </w:r>
    </w:p>
    <w:p w14:paraId="1B3EDA97" w14:textId="77777777" w:rsidR="00317618" w:rsidRDefault="00654893" w:rsidP="00D52388">
      <w:pPr>
        <w:spacing w:after="0"/>
      </w:pPr>
      <w:r w:rsidRPr="00654893">
        <w:rPr>
          <w:b/>
          <w:bCs/>
        </w:rPr>
        <w:t>WHEN CAN I COMPOUND?</w:t>
      </w:r>
      <w:r w:rsidRPr="00654893">
        <w:br/>
        <w:t>☐ A veterinarian is supervising the preparation</w:t>
      </w:r>
      <w:r w:rsidRPr="00654893">
        <w:br/>
        <w:t>☐ A valid VCPR (Veterinarian-Client-Patient Relationship) will exist before administration</w:t>
      </w:r>
      <w:r w:rsidRPr="00654893">
        <w:br/>
        <w:t>☐ No single FDA-approved drug meets the patient's specific need</w:t>
      </w:r>
      <w:r w:rsidRPr="00654893">
        <w:br/>
      </w:r>
      <w:r w:rsidR="00317618" w:rsidRPr="00654893">
        <w:t>☐ The drug is not available in the required dose/form</w:t>
      </w:r>
    </w:p>
    <w:p w14:paraId="5AA093F5" w14:textId="1717F08C" w:rsidR="00317618" w:rsidRPr="00681590" w:rsidRDefault="00317618" w:rsidP="00D52388">
      <w:pPr>
        <w:spacing w:after="0"/>
      </w:pPr>
      <w:r w:rsidRPr="00654893">
        <w:t xml:space="preserve">☐ </w:t>
      </w:r>
      <w:r w:rsidR="00211C8B" w:rsidRPr="00681590">
        <w:t>A dilution of the ingredients is essential for the safe administration of the preparation</w:t>
      </w:r>
    </w:p>
    <w:p w14:paraId="0C43C43B" w14:textId="78815893" w:rsidR="00654893" w:rsidRDefault="00654893" w:rsidP="00654893">
      <w:r w:rsidRPr="00681590">
        <w:t xml:space="preserve">☐ </w:t>
      </w:r>
      <w:r w:rsidR="00317618" w:rsidRPr="00681590">
        <w:t>There is historical documentation of the need, safety, and efficacy of the preparation.</w:t>
      </w:r>
    </w:p>
    <w:p w14:paraId="0A2859A8" w14:textId="336141A2" w:rsidR="00654893" w:rsidRPr="00654893" w:rsidRDefault="00654893" w:rsidP="00654893">
      <w:r w:rsidRPr="00654893">
        <w:rPr>
          <w:b/>
          <w:bCs/>
        </w:rPr>
        <w:t>WHAT MUST BE ON THE LABEL?</w:t>
      </w:r>
      <w:r w:rsidRPr="00654893">
        <w:br/>
        <w:t>☐ Drug names and strengths</w:t>
      </w:r>
      <w:r w:rsidRPr="00654893">
        <w:br/>
        <w:t>☐ Date prepared</w:t>
      </w:r>
      <w:r w:rsidRPr="00654893">
        <w:br/>
        <w:t>☐ Expiration (beyond-use) date</w:t>
      </w:r>
      <w:r w:rsidRPr="00654893">
        <w:br/>
        <w:t>☐ Lot or batch number</w:t>
      </w:r>
      <w:r w:rsidRPr="00654893">
        <w:br/>
        <w:t>☐ Storage instructions (e.g., “Refrigerate”)</w:t>
      </w:r>
      <w:r w:rsidRPr="00654893">
        <w:br/>
        <w:t>☐ Initials of preparer</w:t>
      </w:r>
      <w:r w:rsidRPr="00654893">
        <w:br/>
        <w:t>☐ Clinic name, address, and phone number</w:t>
      </w:r>
      <w:r w:rsidRPr="00654893">
        <w:br/>
        <w:t>☐ Statement: “Compounded by veterinary facility”</w:t>
      </w:r>
      <w:r w:rsidRPr="00654893">
        <w:br/>
        <w:t>☐ If dispensed: directions for use + patient info</w:t>
      </w:r>
    </w:p>
    <w:p w14:paraId="4051FBBD" w14:textId="77777777" w:rsidR="00654893" w:rsidRPr="00654893" w:rsidRDefault="00654893" w:rsidP="00654893">
      <w:r w:rsidRPr="00654893">
        <w:rPr>
          <w:b/>
          <w:bCs/>
        </w:rPr>
        <w:t>EXPIRATION GUIDELINES</w:t>
      </w:r>
      <w:r w:rsidRPr="00654893">
        <w:br/>
        <w:t>☐ Use the earliest expiration date of any ingredient</w:t>
      </w:r>
      <w:r w:rsidRPr="00654893">
        <w:br/>
        <w:t>☐ Sterile preparations: max 30 days</w:t>
      </w:r>
      <w:r w:rsidRPr="00654893">
        <w:br/>
        <w:t xml:space="preserve">☐ </w:t>
      </w:r>
      <w:proofErr w:type="gramStart"/>
      <w:r w:rsidRPr="00654893">
        <w:t>Non-sterile</w:t>
      </w:r>
      <w:proofErr w:type="gramEnd"/>
      <w:r w:rsidRPr="00654893">
        <w:t xml:space="preserve"> preparations: max 180 days</w:t>
      </w:r>
    </w:p>
    <w:p w14:paraId="5E505171" w14:textId="77777777" w:rsidR="00654893" w:rsidRPr="00654893" w:rsidRDefault="00654893" w:rsidP="00654893">
      <w:r w:rsidRPr="00654893">
        <w:rPr>
          <w:b/>
          <w:bCs/>
        </w:rPr>
        <w:t>KEEP A LOG</w:t>
      </w:r>
      <w:r w:rsidRPr="00654893">
        <w:br/>
        <w:t>☐ Record ingredients, lot numbers, quantities, date, staff initials</w:t>
      </w:r>
      <w:r w:rsidRPr="00654893">
        <w:br/>
        <w:t>☐ Keep compounding logs for at least 3 years</w:t>
      </w:r>
    </w:p>
    <w:p w14:paraId="2B2AFF5E" w14:textId="77777777" w:rsidR="00654893" w:rsidRPr="00654893" w:rsidRDefault="00654893" w:rsidP="00654893">
      <w:r w:rsidRPr="00654893">
        <w:rPr>
          <w:b/>
          <w:bCs/>
        </w:rPr>
        <w:t>DO NOT:</w:t>
      </w:r>
      <w:r w:rsidRPr="00654893">
        <w:br/>
        <w:t>☐ Store unlabeled syringes or bottles</w:t>
      </w:r>
      <w:r w:rsidRPr="00654893">
        <w:br/>
        <w:t>☐ Combine drugs in a syringe without labeling it</w:t>
      </w:r>
      <w:r w:rsidRPr="00654893">
        <w:br/>
        <w:t>☐ Use expired ingredients</w:t>
      </w:r>
      <w:r w:rsidRPr="00654893">
        <w:br/>
        <w:t>☐ Skip recordkeeping</w:t>
      </w:r>
    </w:p>
    <w:p w14:paraId="2B93916A" w14:textId="77777777" w:rsidR="00654893" w:rsidRPr="00654893" w:rsidRDefault="00380401" w:rsidP="00654893">
      <w:r>
        <w:pict w14:anchorId="3178A9A4">
          <v:rect id="_x0000_i1025" style="width:0;height:1.5pt" o:hralign="center" o:hrstd="t" o:hr="t" fillcolor="#a0a0a0" stroked="f"/>
        </w:pict>
      </w:r>
    </w:p>
    <w:p w14:paraId="573E684C" w14:textId="77777777" w:rsidR="00654893" w:rsidRPr="00654893" w:rsidRDefault="00654893" w:rsidP="00654893">
      <w:r w:rsidRPr="00654893">
        <w:rPr>
          <w:b/>
          <w:bCs/>
        </w:rPr>
        <w:t>Legal References:</w:t>
      </w:r>
      <w:r w:rsidRPr="00654893">
        <w:br/>
        <w:t xml:space="preserve">CA </w:t>
      </w:r>
      <w:r w:rsidRPr="00654893">
        <w:rPr>
          <w:b/>
          <w:bCs/>
        </w:rPr>
        <w:t>BPC § 4826.5</w:t>
      </w:r>
      <w:r w:rsidRPr="00654893">
        <w:t xml:space="preserve"> and </w:t>
      </w:r>
      <w:r w:rsidRPr="00654893">
        <w:rPr>
          <w:b/>
          <w:bCs/>
        </w:rPr>
        <w:t>16 CCR §§ 2091–2095</w:t>
      </w:r>
      <w:r w:rsidRPr="00654893">
        <w:br/>
        <w:t>VMB Drug Compounding Guidance (PDF)</w:t>
      </w:r>
    </w:p>
    <w:p w14:paraId="12F8A077" w14:textId="77777777" w:rsidR="00654893" w:rsidRDefault="00654893"/>
    <w:sectPr w:rsidR="00654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D258" w14:textId="77777777" w:rsidR="00C63B20" w:rsidRDefault="00C63B20" w:rsidP="00C63B20">
      <w:pPr>
        <w:spacing w:after="0" w:line="240" w:lineRule="auto"/>
      </w:pPr>
      <w:r>
        <w:separator/>
      </w:r>
    </w:p>
  </w:endnote>
  <w:endnote w:type="continuationSeparator" w:id="0">
    <w:p w14:paraId="7EF22D50" w14:textId="77777777" w:rsidR="00C63B20" w:rsidRDefault="00C63B20" w:rsidP="00C6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4240" w14:textId="77777777" w:rsidR="00C63B20" w:rsidRDefault="00C63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0F02" w14:textId="77777777" w:rsidR="00C63B20" w:rsidRDefault="00C63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6BF7" w14:textId="77777777" w:rsidR="00C63B20" w:rsidRDefault="00C6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B5BE" w14:textId="77777777" w:rsidR="00C63B20" w:rsidRDefault="00C63B20" w:rsidP="00C63B20">
      <w:pPr>
        <w:spacing w:after="0" w:line="240" w:lineRule="auto"/>
      </w:pPr>
      <w:r>
        <w:separator/>
      </w:r>
    </w:p>
  </w:footnote>
  <w:footnote w:type="continuationSeparator" w:id="0">
    <w:p w14:paraId="584ACE1F" w14:textId="77777777" w:rsidR="00C63B20" w:rsidRDefault="00C63B20" w:rsidP="00C6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28A05" w14:textId="77777777" w:rsidR="00C63B20" w:rsidRDefault="00C63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45D2" w14:textId="77777777" w:rsidR="00C63B20" w:rsidRDefault="00C63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F1B4" w14:textId="77777777" w:rsidR="00C63B20" w:rsidRDefault="00C63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93"/>
    <w:rsid w:val="0003007D"/>
    <w:rsid w:val="00211C8B"/>
    <w:rsid w:val="00317618"/>
    <w:rsid w:val="00654893"/>
    <w:rsid w:val="00681590"/>
    <w:rsid w:val="00771DB9"/>
    <w:rsid w:val="007D5245"/>
    <w:rsid w:val="008442EC"/>
    <w:rsid w:val="008A180C"/>
    <w:rsid w:val="00A425C5"/>
    <w:rsid w:val="00C63B20"/>
    <w:rsid w:val="00D251D5"/>
    <w:rsid w:val="00D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1EA2C2"/>
  <w15:chartTrackingRefBased/>
  <w15:docId w15:val="{B8BDD2E9-C8B7-46FF-A631-55E6288C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8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20"/>
  </w:style>
  <w:style w:type="paragraph" w:styleId="Footer">
    <w:name w:val="footer"/>
    <w:basedOn w:val="Normal"/>
    <w:link w:val="FooterChar"/>
    <w:uiPriority w:val="99"/>
    <w:unhideWhenUsed/>
    <w:rsid w:val="00C63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Stadum</dc:creator>
  <cp:keywords/>
  <dc:description/>
  <cp:lastModifiedBy>Molly Stadum</cp:lastModifiedBy>
  <cp:revision>3</cp:revision>
  <dcterms:created xsi:type="dcterms:W3CDTF">2025-08-01T20:32:00Z</dcterms:created>
  <dcterms:modified xsi:type="dcterms:W3CDTF">2025-08-01T20:32:00Z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SPALS Compounding Checklist - 8/1/2025 11:13 AM</vt:lpwstr>
  </property>
  <property fmtid="{D5CDD505-2E9C-101B-9397-08002B2CF9AE}" pid="3" name="DocXFormat">
    <vt:lpwstr>DefaultFormat</vt:lpwstr>
  </property>
  <property fmtid="{D5CDD505-2E9C-101B-9397-08002B2CF9AE}" pid="4" name="DocXLocation">
    <vt:lpwstr>NoDocId</vt:lpwstr>
  </property>
</Properties>
</file>